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9EA7" w14:textId="77777777" w:rsidR="00BE6856" w:rsidRDefault="00BE6856" w:rsidP="00BE6856">
      <w:pPr>
        <w:pStyle w:val="En-tte"/>
      </w:pPr>
      <w:bookmarkStart w:id="0" w:name="_Toc458071803"/>
      <w:r>
        <w:t>Cours interentreprises, bloc 3</w:t>
      </w:r>
    </w:p>
    <w:p w14:paraId="44370A31" w14:textId="77777777" w:rsidR="009A491E" w:rsidRDefault="00BE6856" w:rsidP="00BE6856">
      <w:pPr>
        <w:pStyle w:val="En-tte"/>
      </w:pPr>
      <w:r>
        <w:t>Journée de présence 8</w:t>
      </w:r>
      <w:r w:rsidR="009A491E">
        <w:t xml:space="preserve"> : </w:t>
      </w:r>
    </w:p>
    <w:p w14:paraId="7E1B209F" w14:textId="77777777" w:rsidR="009A491E" w:rsidRDefault="00BE6856" w:rsidP="009A491E">
      <w:pPr>
        <w:pStyle w:val="En-tte"/>
        <w:numPr>
          <w:ilvl w:val="0"/>
          <w:numId w:val="4"/>
        </w:numPr>
      </w:pPr>
      <w:r>
        <w:t>situation de travail 8 : « </w:t>
      </w:r>
      <w:r w:rsidR="00D433A0">
        <w:t>R</w:t>
      </w:r>
      <w:r>
        <w:t xml:space="preserve">édiger des </w:t>
      </w:r>
      <w:r w:rsidR="005E4F55">
        <w:t xml:space="preserve">dispositions </w:t>
      </w:r>
      <w:r>
        <w:t>et décisions »</w:t>
      </w:r>
    </w:p>
    <w:p w14:paraId="6EAA6753" w14:textId="51B3E9BF" w:rsidR="00BE6856" w:rsidRPr="00B061B3" w:rsidRDefault="00BE6856" w:rsidP="009A491E">
      <w:pPr>
        <w:pStyle w:val="En-tte"/>
        <w:numPr>
          <w:ilvl w:val="0"/>
          <w:numId w:val="4"/>
        </w:numPr>
      </w:pPr>
      <w:r>
        <w:t>situation de travail 9 : « </w:t>
      </w:r>
      <w:r w:rsidR="00D433A0">
        <w:t>E</w:t>
      </w:r>
      <w:r>
        <w:t xml:space="preserve">xaminer les </w:t>
      </w:r>
      <w:r w:rsidR="005E4F55">
        <w:t xml:space="preserve">entrées </w:t>
      </w:r>
      <w:r>
        <w:t>de</w:t>
      </w:r>
      <w:r w:rsidR="005E4F55">
        <w:t>s</w:t>
      </w:r>
      <w:r>
        <w:t xml:space="preserve"> voie</w:t>
      </w:r>
      <w:r w:rsidR="005E4F55">
        <w:t>s</w:t>
      </w:r>
      <w:r>
        <w:t xml:space="preserve"> de droit » </w:t>
      </w:r>
    </w:p>
    <w:bookmarkEnd w:id="0"/>
    <w:p w14:paraId="34E5258E" w14:textId="77777777" w:rsidR="00F343F7" w:rsidRDefault="00F343F7" w:rsidP="00F343F7">
      <w:pPr>
        <w:pStyle w:val="Titre"/>
      </w:pPr>
      <w:r>
        <w:t>Voies de droit et bases légales</w:t>
      </w:r>
    </w:p>
    <w:p w14:paraId="3F7DDDC9" w14:textId="77777777" w:rsidR="003F0023" w:rsidRDefault="003F0023" w:rsidP="003F0023"/>
    <w:p w14:paraId="5AB24F0B" w14:textId="648CFBA9" w:rsidR="003F0023" w:rsidRDefault="003F0023" w:rsidP="003F0023">
      <w:pPr>
        <w:pStyle w:val="Titre1"/>
      </w:pPr>
      <w:r>
        <w:t>Instruction de travail « Analyse »</w:t>
      </w:r>
    </w:p>
    <w:p w14:paraId="058F4FD6" w14:textId="77777777" w:rsidR="003F0023" w:rsidRPr="003F0023" w:rsidRDefault="003F0023" w:rsidP="003F0023"/>
    <w:p w14:paraId="65F67B5D" w14:textId="77777777" w:rsidR="00310E6A" w:rsidRDefault="003F0023" w:rsidP="003F0023">
      <w:pPr>
        <w:pStyle w:val="Titre3"/>
      </w:pPr>
      <w:r>
        <w:t>Situation de départ</w:t>
      </w:r>
    </w:p>
    <w:p w14:paraId="3BE78896" w14:textId="2F75A2C3" w:rsidR="003F0023" w:rsidRDefault="00BE6856" w:rsidP="00971515">
      <w:pPr>
        <w:jc w:val="both"/>
      </w:pPr>
      <w:r>
        <w:t xml:space="preserve">En guise de préparation au cours d’aujourd’hui, vous vous êtes notamment familiarisé avec les voies de droit en étudiant </w:t>
      </w:r>
      <w:r w:rsidR="005E4F55">
        <w:t>le module de connaissances</w:t>
      </w:r>
      <w:r>
        <w:t xml:space="preserve">. Vous savez désormais qu’une </w:t>
      </w:r>
      <w:r w:rsidR="005E4F55">
        <w:t xml:space="preserve">disposition </w:t>
      </w:r>
      <w:r>
        <w:t>ou une décision est toujours assortie de la possibilité d’exercer une voie de droit.</w:t>
      </w:r>
      <w:r>
        <w:br/>
      </w:r>
      <w:r w:rsidR="009A491E">
        <w:t>Par groupe</w:t>
      </w:r>
      <w:r>
        <w:t xml:space="preserve">, vous allez maintenant, dans le cadre </w:t>
      </w:r>
      <w:r w:rsidR="00D433A0">
        <w:t>de cet</w:t>
      </w:r>
      <w:r>
        <w:t xml:space="preserve"> exercice, vous intéresser de plus près aux voies de droit et aux bases légales </w:t>
      </w:r>
      <w:r w:rsidR="005E4F55">
        <w:t>correspondantes</w:t>
      </w:r>
      <w:r>
        <w:t>.</w:t>
      </w:r>
    </w:p>
    <w:p w14:paraId="2B22610D" w14:textId="77777777" w:rsidR="005C0269" w:rsidRDefault="005C0269" w:rsidP="00971515">
      <w:pPr>
        <w:jc w:val="both"/>
      </w:pPr>
    </w:p>
    <w:p w14:paraId="22967D36" w14:textId="6C0FA134" w:rsidR="009E705E" w:rsidRPr="009E705E" w:rsidRDefault="005E4F55" w:rsidP="00BE6856">
      <w:pPr>
        <w:pStyle w:val="Titre3"/>
      </w:pPr>
      <w:r>
        <w:t>Énoncé</w:t>
      </w:r>
      <w:r w:rsidR="009E705E">
        <w:t xml:space="preserve"> des tâches</w:t>
      </w:r>
    </w:p>
    <w:p w14:paraId="1AE3F526" w14:textId="2EA84612" w:rsidR="00BE6856" w:rsidRPr="00BE6856" w:rsidRDefault="005E4F55" w:rsidP="00BE6856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193F6D">
        <w:rPr>
          <w:rFonts w:asciiTheme="minorHAnsi" w:hAnsiTheme="minorHAnsi"/>
          <w:b/>
        </w:rPr>
        <w:t> 1 :</w:t>
      </w:r>
      <w:r w:rsidR="00193F6D">
        <w:rPr>
          <w:rFonts w:asciiTheme="minorHAnsi" w:hAnsiTheme="minorHAnsi"/>
        </w:rPr>
        <w:t xml:space="preserve"> formez des groupes de trois.</w:t>
      </w:r>
    </w:p>
    <w:p w14:paraId="35581A19" w14:textId="6A84EE98" w:rsidR="00BE6856" w:rsidRPr="00BE6856" w:rsidRDefault="005E4F55" w:rsidP="00BE6856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BE6856">
        <w:rPr>
          <w:rFonts w:asciiTheme="minorHAnsi" w:hAnsiTheme="minorHAnsi"/>
          <w:b/>
        </w:rPr>
        <w:t> 2 :</w:t>
      </w:r>
      <w:r w:rsidR="00BE6856">
        <w:rPr>
          <w:rFonts w:asciiTheme="minorHAnsi" w:hAnsiTheme="minorHAnsi"/>
        </w:rPr>
        <w:t xml:space="preserve"> lisez les décisions et passez en revue les articles de loi.</w:t>
      </w:r>
    </w:p>
    <w:p w14:paraId="4CB69CF1" w14:textId="29401EFA" w:rsidR="004E3770" w:rsidRDefault="005E4F55" w:rsidP="0097151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BE6856">
        <w:rPr>
          <w:rFonts w:asciiTheme="minorHAnsi" w:hAnsiTheme="minorHAnsi"/>
          <w:b/>
        </w:rPr>
        <w:t> 3 :</w:t>
      </w:r>
      <w:r w:rsidR="00BE6856">
        <w:rPr>
          <w:rFonts w:asciiTheme="minorHAnsi" w:hAnsiTheme="minorHAnsi"/>
        </w:rPr>
        <w:t xml:space="preserve"> demandez-vous quel article de loi pourrait correspondre à quelle </w:t>
      </w:r>
      <w:r>
        <w:rPr>
          <w:rFonts w:asciiTheme="minorHAnsi" w:hAnsiTheme="minorHAnsi"/>
        </w:rPr>
        <w:t xml:space="preserve">indication </w:t>
      </w:r>
      <w:r w:rsidR="00BE6856">
        <w:rPr>
          <w:rFonts w:asciiTheme="minorHAnsi" w:hAnsiTheme="minorHAnsi"/>
        </w:rPr>
        <w:t xml:space="preserve">de voie de droit. Dans chaque cas, indiquez l’instance </w:t>
      </w:r>
      <w:r>
        <w:rPr>
          <w:rFonts w:asciiTheme="minorHAnsi" w:hAnsiTheme="minorHAnsi"/>
        </w:rPr>
        <w:t>compétente pour l’exercice de la voie de droit</w:t>
      </w:r>
      <w:r w:rsidR="00BE6856">
        <w:rPr>
          <w:rFonts w:asciiTheme="minorHAnsi" w:hAnsiTheme="minorHAnsi"/>
        </w:rPr>
        <w:t>. Notez vos réponses sur la fiche d’accompagnement.</w:t>
      </w:r>
    </w:p>
    <w:p w14:paraId="4C8499D8" w14:textId="1254C038" w:rsidR="00BE6856" w:rsidRDefault="00BE6856" w:rsidP="0097151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Pour </w:t>
      </w:r>
      <w:proofErr w:type="gramStart"/>
      <w:r>
        <w:rPr>
          <w:rFonts w:asciiTheme="minorHAnsi" w:hAnsiTheme="minorHAnsi"/>
          <w:b/>
        </w:rPr>
        <w:t xml:space="preserve">les </w:t>
      </w:r>
      <w:proofErr w:type="spellStart"/>
      <w:r>
        <w:rPr>
          <w:rFonts w:asciiTheme="minorHAnsi" w:hAnsiTheme="minorHAnsi"/>
          <w:b/>
        </w:rPr>
        <w:t>apprenti</w:t>
      </w:r>
      <w:proofErr w:type="gramEnd"/>
      <w:r w:rsidR="009A491E">
        <w:rPr>
          <w:rFonts w:ascii="Assistant" w:hAnsi="Assistant" w:cs="Assistant" w:hint="cs"/>
          <w:b/>
        </w:rPr>
        <w:t>·</w:t>
      </w:r>
      <w:r w:rsidR="009A491E">
        <w:rPr>
          <w:rFonts w:asciiTheme="minorHAnsi" w:hAnsiTheme="minorHAnsi"/>
          <w:b/>
        </w:rPr>
        <w:t>e</w:t>
      </w:r>
      <w:r w:rsidR="005C0269">
        <w:rPr>
          <w:rFonts w:asciiTheme="minorHAnsi" w:hAnsiTheme="minorHAnsi"/>
          <w:b/>
        </w:rPr>
        <w:t>·</w:t>
      </w:r>
      <w:r>
        <w:rPr>
          <w:rFonts w:asciiTheme="minorHAnsi" w:hAnsiTheme="minorHAnsi"/>
          <w:b/>
        </w:rPr>
        <w:t>s</w:t>
      </w:r>
      <w:proofErr w:type="spellEnd"/>
      <w:r w:rsidR="005E4F55">
        <w:rPr>
          <w:rFonts w:asciiTheme="minorHAnsi" w:hAnsiTheme="minorHAnsi"/>
          <w:b/>
        </w:rPr>
        <w:t xml:space="preserve"> les plus</w:t>
      </w:r>
      <w:r>
        <w:rPr>
          <w:rFonts w:asciiTheme="minorHAnsi" w:hAnsiTheme="minorHAnsi"/>
          <w:b/>
        </w:rPr>
        <w:t xml:space="preserve"> rapides : </w:t>
      </w:r>
      <w:r>
        <w:rPr>
          <w:rFonts w:asciiTheme="minorHAnsi" w:hAnsiTheme="minorHAnsi"/>
        </w:rPr>
        <w:t>sur la base des dates et du délai indiqués, calculez la date limite à laquelle la voie de droit peut être exercée. Vous pouvez partir du principe que la décision est toujours parvenue au destinataire en Courrier A+ le jour ouvrable suivant la date de la séance. Notez vos réponses sur la fiche d’accompagnement.</w:t>
      </w:r>
    </w:p>
    <w:p w14:paraId="015A4D9F" w14:textId="77777777" w:rsidR="004E3C66" w:rsidRPr="00BE6856" w:rsidRDefault="004E3C66" w:rsidP="009E705E">
      <w:pPr>
        <w:rPr>
          <w:rFonts w:asciiTheme="minorHAnsi" w:hAnsiTheme="minorHAnsi"/>
        </w:rPr>
      </w:pPr>
    </w:p>
    <w:p w14:paraId="19A3CB74" w14:textId="77777777" w:rsidR="009E705E" w:rsidRPr="00BE6856" w:rsidRDefault="009E705E" w:rsidP="009E705E">
      <w:pPr>
        <w:pStyle w:val="Titre3"/>
      </w:pPr>
      <w:r>
        <w:t>Attentes</w:t>
      </w:r>
    </w:p>
    <w:p w14:paraId="612D6EE3" w14:textId="0FBD9C74" w:rsidR="00BE6856" w:rsidRPr="00BE6856" w:rsidRDefault="00BE6856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>Vous associez correctement au moins deux articles de loi à la décision correspondante.</w:t>
      </w:r>
    </w:p>
    <w:p w14:paraId="3BC0D06C" w14:textId="09AA52AB" w:rsidR="009E705E" w:rsidRPr="00BE6856" w:rsidRDefault="009E705E" w:rsidP="009E705E">
      <w:pPr>
        <w:rPr>
          <w:rFonts w:asciiTheme="minorHAnsi" w:hAnsiTheme="minorHAnsi"/>
        </w:rPr>
      </w:pPr>
    </w:p>
    <w:p w14:paraId="6F088A4F" w14:textId="77777777" w:rsidR="009E705E" w:rsidRPr="00BE6856" w:rsidRDefault="009E705E" w:rsidP="009E705E">
      <w:pPr>
        <w:rPr>
          <w:rFonts w:asciiTheme="minorHAnsi" w:hAnsiTheme="minorHAnsi"/>
        </w:rPr>
      </w:pPr>
    </w:p>
    <w:p w14:paraId="35AEF90D" w14:textId="77777777" w:rsidR="009E705E" w:rsidRPr="00BE6856" w:rsidRDefault="009E705E" w:rsidP="009E705E">
      <w:pPr>
        <w:pStyle w:val="Titre3"/>
      </w:pPr>
      <w:r>
        <w:t>Organisation</w:t>
      </w:r>
    </w:p>
    <w:p w14:paraId="14954769" w14:textId="406CE5F6" w:rsidR="009E705E" w:rsidRPr="00BE6856" w:rsidRDefault="009E705E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>Temps imparti : 15 minutes</w:t>
      </w:r>
    </w:p>
    <w:p w14:paraId="3DE138E6" w14:textId="67F96686" w:rsidR="009E705E" w:rsidRPr="00BE6856" w:rsidRDefault="009E705E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>Méthode de travail : par groupes de trois</w:t>
      </w:r>
    </w:p>
    <w:p w14:paraId="04509A69" w14:textId="3E7637B0" w:rsidR="003F7F3B" w:rsidRDefault="003F7F3B" w:rsidP="00375F9F">
      <w:pPr>
        <w:rPr>
          <w:rFonts w:asciiTheme="minorHAnsi" w:hAnsiTheme="minorHAnsi"/>
        </w:rPr>
      </w:pPr>
    </w:p>
    <w:p w14:paraId="58434350" w14:textId="277A2EE1" w:rsidR="00167745" w:rsidRDefault="00167745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  <w:r>
        <w:br w:type="page"/>
      </w:r>
    </w:p>
    <w:p w14:paraId="3216A916" w14:textId="643E9FC4" w:rsidR="00167745" w:rsidRPr="00BE6856" w:rsidRDefault="00167745" w:rsidP="00167745">
      <w:pPr>
        <w:pStyle w:val="Titre3"/>
      </w:pPr>
      <w:r>
        <w:lastRenderedPageBreak/>
        <w:t>Fiche d’accompagnement</w:t>
      </w:r>
    </w:p>
    <w:p w14:paraId="4FEE7D0F" w14:textId="15B7BADE" w:rsidR="00167745" w:rsidRDefault="00167745" w:rsidP="00167745">
      <w:pPr>
        <w:rPr>
          <w:rStyle w:val="lev"/>
        </w:rPr>
      </w:pPr>
      <w:r>
        <w:rPr>
          <w:rFonts w:asciiTheme="minorHAnsi" w:hAnsiTheme="minorHAnsi"/>
          <w:b/>
        </w:rPr>
        <w:t xml:space="preserve">Exemple 1 : </w:t>
      </w:r>
      <w:r w:rsidR="000806DF">
        <w:rPr>
          <w:rStyle w:val="lev"/>
        </w:rPr>
        <w:t>p</w:t>
      </w:r>
      <w:r>
        <w:rPr>
          <w:rStyle w:val="lev"/>
        </w:rPr>
        <w:t>ermis de construire n</w:t>
      </w:r>
      <w:r>
        <w:rPr>
          <w:rStyle w:val="lev"/>
          <w:vertAlign w:val="superscript"/>
        </w:rPr>
        <w:t>o</w:t>
      </w:r>
      <w:r>
        <w:rPr>
          <w:rStyle w:val="lev"/>
        </w:rPr>
        <w:t> 88</w:t>
      </w:r>
    </w:p>
    <w:p w14:paraId="4ABFD81A" w14:textId="77777777" w:rsidR="00167745" w:rsidRDefault="00167745" w:rsidP="00167745">
      <w:pPr>
        <w:rPr>
          <w:rStyle w:val="lev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167745" w14:paraId="22A8897B" w14:textId="77777777" w:rsidTr="00167745">
        <w:tc>
          <w:tcPr>
            <w:tcW w:w="3114" w:type="dxa"/>
            <w:vAlign w:val="center"/>
          </w:tcPr>
          <w:p w14:paraId="3BA5B536" w14:textId="1BF13790" w:rsidR="00167745" w:rsidRPr="00167745" w:rsidRDefault="00167745" w:rsidP="00167745">
            <w:pPr>
              <w:rPr>
                <w:rFonts w:asciiTheme="minorHAnsi" w:hAnsiTheme="minorHAnsi"/>
                <w:b/>
                <w:bCs/>
              </w:rPr>
            </w:pPr>
            <w:bookmarkStart w:id="1" w:name="_Hlk121747291"/>
            <w:r>
              <w:rPr>
                <w:rFonts w:asciiTheme="minorHAnsi" w:hAnsiTheme="minorHAnsi"/>
                <w:b/>
              </w:rPr>
              <w:t xml:space="preserve">Article de loi </w:t>
            </w:r>
            <w:r w:rsidR="005E4F55">
              <w:rPr>
                <w:rFonts w:asciiTheme="minorHAnsi" w:hAnsiTheme="minorHAnsi"/>
                <w:b/>
              </w:rPr>
              <w:t>correspondant</w:t>
            </w:r>
          </w:p>
        </w:tc>
        <w:tc>
          <w:tcPr>
            <w:tcW w:w="5670" w:type="dxa"/>
          </w:tcPr>
          <w:p w14:paraId="0CCBDF9F" w14:textId="77777777" w:rsidR="00167745" w:rsidRDefault="00167745" w:rsidP="00375F9F">
            <w:pPr>
              <w:rPr>
                <w:rFonts w:asciiTheme="minorHAnsi" w:hAnsiTheme="minorHAnsi"/>
              </w:rPr>
            </w:pPr>
          </w:p>
          <w:p w14:paraId="5214AF1C" w14:textId="77777777" w:rsidR="00167745" w:rsidRDefault="00167745" w:rsidP="00375F9F">
            <w:pPr>
              <w:rPr>
                <w:rFonts w:asciiTheme="minorHAnsi" w:hAnsiTheme="minorHAnsi"/>
              </w:rPr>
            </w:pPr>
          </w:p>
          <w:p w14:paraId="5F259E13" w14:textId="044E7CC1" w:rsidR="00167745" w:rsidRDefault="00167745" w:rsidP="00375F9F">
            <w:pPr>
              <w:rPr>
                <w:rFonts w:asciiTheme="minorHAnsi" w:hAnsiTheme="minorHAnsi"/>
              </w:rPr>
            </w:pPr>
          </w:p>
        </w:tc>
      </w:tr>
      <w:tr w:rsidR="00167745" w14:paraId="443D5BCF" w14:textId="77777777" w:rsidTr="00167745">
        <w:tc>
          <w:tcPr>
            <w:tcW w:w="3114" w:type="dxa"/>
            <w:vAlign w:val="center"/>
          </w:tcPr>
          <w:p w14:paraId="36AEE8BC" w14:textId="0FED4185" w:rsidR="00167745" w:rsidRPr="00167745" w:rsidRDefault="00167745" w:rsidP="0016774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Instance </w:t>
            </w:r>
            <w:r w:rsidR="00BA3A2A">
              <w:rPr>
                <w:rFonts w:asciiTheme="minorHAnsi" w:hAnsiTheme="minorHAnsi"/>
                <w:b/>
              </w:rPr>
              <w:t>compétente pour l’exercice de la voie de droit</w:t>
            </w:r>
          </w:p>
        </w:tc>
        <w:tc>
          <w:tcPr>
            <w:tcW w:w="5670" w:type="dxa"/>
          </w:tcPr>
          <w:p w14:paraId="67801E9D" w14:textId="77777777" w:rsidR="00167745" w:rsidRDefault="00167745" w:rsidP="00375F9F">
            <w:pPr>
              <w:rPr>
                <w:rFonts w:asciiTheme="minorHAnsi" w:hAnsiTheme="minorHAnsi"/>
              </w:rPr>
            </w:pPr>
          </w:p>
          <w:p w14:paraId="1A5CE5CC" w14:textId="77777777" w:rsidR="00167745" w:rsidRDefault="00167745" w:rsidP="00375F9F">
            <w:pPr>
              <w:rPr>
                <w:rFonts w:asciiTheme="minorHAnsi" w:hAnsiTheme="minorHAnsi"/>
              </w:rPr>
            </w:pPr>
          </w:p>
          <w:p w14:paraId="6F233ED9" w14:textId="39234D65" w:rsidR="00167745" w:rsidRDefault="00167745" w:rsidP="00375F9F">
            <w:pPr>
              <w:rPr>
                <w:rFonts w:asciiTheme="minorHAnsi" w:hAnsiTheme="minorHAnsi"/>
              </w:rPr>
            </w:pPr>
          </w:p>
        </w:tc>
      </w:tr>
      <w:tr w:rsidR="00167745" w14:paraId="0772226E" w14:textId="77777777" w:rsidTr="00167745">
        <w:tc>
          <w:tcPr>
            <w:tcW w:w="3114" w:type="dxa"/>
            <w:vAlign w:val="center"/>
          </w:tcPr>
          <w:p w14:paraId="4B78E8FE" w14:textId="1BF73341" w:rsidR="00167745" w:rsidRPr="00167745" w:rsidRDefault="00167745" w:rsidP="0016774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Facultatif : jusqu’à quelle date </w:t>
            </w:r>
            <w:r w:rsidR="00BA3A2A">
              <w:rPr>
                <w:rFonts w:asciiTheme="minorHAnsi" w:hAnsiTheme="minorHAnsi"/>
                <w:b/>
              </w:rPr>
              <w:t>la voie de droit peut-elle être exercée</w:t>
            </w:r>
            <w:r>
              <w:rPr>
                <w:rFonts w:asciiTheme="minorHAnsi" w:hAnsiTheme="minorHAnsi"/>
                <w:b/>
              </w:rPr>
              <w:t xml:space="preserve"> au plus tard ?</w:t>
            </w:r>
          </w:p>
        </w:tc>
        <w:tc>
          <w:tcPr>
            <w:tcW w:w="5670" w:type="dxa"/>
          </w:tcPr>
          <w:p w14:paraId="0D84C141" w14:textId="77777777" w:rsidR="00167745" w:rsidRDefault="00167745" w:rsidP="00375F9F">
            <w:pPr>
              <w:rPr>
                <w:rFonts w:asciiTheme="minorHAnsi" w:hAnsiTheme="minorHAnsi"/>
              </w:rPr>
            </w:pPr>
          </w:p>
          <w:p w14:paraId="675F46E3" w14:textId="77777777" w:rsidR="00167745" w:rsidRDefault="00167745" w:rsidP="00375F9F">
            <w:pPr>
              <w:rPr>
                <w:rFonts w:asciiTheme="minorHAnsi" w:hAnsiTheme="minorHAnsi"/>
              </w:rPr>
            </w:pPr>
          </w:p>
          <w:p w14:paraId="788F3242" w14:textId="38F6992E" w:rsidR="00167745" w:rsidRDefault="00167745" w:rsidP="00375F9F">
            <w:pPr>
              <w:rPr>
                <w:rFonts w:asciiTheme="minorHAnsi" w:hAnsiTheme="minorHAnsi"/>
              </w:rPr>
            </w:pPr>
          </w:p>
        </w:tc>
      </w:tr>
      <w:tr w:rsidR="00167745" w14:paraId="4770AF28" w14:textId="77777777" w:rsidTr="00167745">
        <w:tc>
          <w:tcPr>
            <w:tcW w:w="3114" w:type="dxa"/>
            <w:vAlign w:val="center"/>
          </w:tcPr>
          <w:p w14:paraId="471939A3" w14:textId="48FC5CAF" w:rsidR="00167745" w:rsidRPr="00167745" w:rsidRDefault="00167745" w:rsidP="0016774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Questions en suspens</w:t>
            </w:r>
          </w:p>
        </w:tc>
        <w:tc>
          <w:tcPr>
            <w:tcW w:w="5670" w:type="dxa"/>
          </w:tcPr>
          <w:p w14:paraId="4254324B" w14:textId="77777777" w:rsidR="00167745" w:rsidRDefault="00167745" w:rsidP="00375F9F">
            <w:pPr>
              <w:rPr>
                <w:rFonts w:asciiTheme="minorHAnsi" w:hAnsiTheme="minorHAnsi"/>
              </w:rPr>
            </w:pPr>
          </w:p>
          <w:p w14:paraId="1225B052" w14:textId="77777777" w:rsidR="00167745" w:rsidRDefault="00167745" w:rsidP="00375F9F">
            <w:pPr>
              <w:rPr>
                <w:rFonts w:asciiTheme="minorHAnsi" w:hAnsiTheme="minorHAnsi"/>
              </w:rPr>
            </w:pPr>
          </w:p>
          <w:p w14:paraId="2DC4EC18" w14:textId="331A4715" w:rsidR="00167745" w:rsidRDefault="00167745" w:rsidP="00375F9F">
            <w:pPr>
              <w:rPr>
                <w:rFonts w:asciiTheme="minorHAnsi" w:hAnsiTheme="minorHAnsi"/>
              </w:rPr>
            </w:pPr>
          </w:p>
        </w:tc>
      </w:tr>
      <w:bookmarkEnd w:id="1"/>
    </w:tbl>
    <w:p w14:paraId="52C19D21" w14:textId="56DE0E38" w:rsidR="00167745" w:rsidRDefault="00167745" w:rsidP="00375F9F">
      <w:pPr>
        <w:rPr>
          <w:rFonts w:asciiTheme="minorHAnsi" w:hAnsiTheme="minorHAnsi"/>
        </w:rPr>
      </w:pPr>
    </w:p>
    <w:p w14:paraId="2ECE2AD6" w14:textId="6D1A553C" w:rsidR="00167745" w:rsidRPr="00DC1C81" w:rsidRDefault="00167745" w:rsidP="00167745">
      <w:pPr>
        <w:rPr>
          <w:rStyle w:val="lev"/>
          <w:rFonts w:asciiTheme="minorHAnsi" w:hAnsiTheme="minorHAnsi" w:cstheme="minorHAnsi"/>
          <w:szCs w:val="24"/>
        </w:rPr>
      </w:pPr>
      <w:r>
        <w:rPr>
          <w:rFonts w:asciiTheme="minorHAnsi" w:hAnsiTheme="minorHAnsi"/>
          <w:b/>
        </w:rPr>
        <w:t xml:space="preserve">Exemple 2 : </w:t>
      </w:r>
      <w:r w:rsidR="00D433A0" w:rsidRPr="00D433A0">
        <w:rPr>
          <w:rStyle w:val="lev"/>
        </w:rPr>
        <w:t xml:space="preserve"> </w:t>
      </w:r>
      <w:r w:rsidR="00D433A0">
        <w:rPr>
          <w:rStyle w:val="lev"/>
        </w:rPr>
        <w:t xml:space="preserve">suppression de l’aide sociale dans le cas de Norbert </w:t>
      </w:r>
      <w:proofErr w:type="spellStart"/>
      <w:r w:rsidR="00D433A0">
        <w:rPr>
          <w:rStyle w:val="lev"/>
        </w:rPr>
        <w:t>Krumm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167745" w14:paraId="000D80E0" w14:textId="77777777" w:rsidTr="00167745">
        <w:tc>
          <w:tcPr>
            <w:tcW w:w="3114" w:type="dxa"/>
            <w:vAlign w:val="center"/>
          </w:tcPr>
          <w:p w14:paraId="1A238287" w14:textId="2644D27D" w:rsidR="00167745" w:rsidRPr="00167745" w:rsidRDefault="00167745" w:rsidP="0016774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Article de loi </w:t>
            </w:r>
            <w:r w:rsidR="00BA3A2A">
              <w:rPr>
                <w:rFonts w:asciiTheme="minorHAnsi" w:hAnsiTheme="minorHAnsi"/>
                <w:b/>
              </w:rPr>
              <w:t>correspondant</w:t>
            </w:r>
          </w:p>
        </w:tc>
        <w:tc>
          <w:tcPr>
            <w:tcW w:w="5670" w:type="dxa"/>
          </w:tcPr>
          <w:p w14:paraId="5F533554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1631D1E0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104D499B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</w:tc>
      </w:tr>
      <w:tr w:rsidR="00167745" w14:paraId="68E13F99" w14:textId="77777777" w:rsidTr="00167745">
        <w:tc>
          <w:tcPr>
            <w:tcW w:w="3114" w:type="dxa"/>
            <w:vAlign w:val="center"/>
          </w:tcPr>
          <w:p w14:paraId="2115C261" w14:textId="394BCA45" w:rsidR="00167745" w:rsidRPr="00167745" w:rsidRDefault="00167745" w:rsidP="0016774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Instance </w:t>
            </w:r>
            <w:r w:rsidR="00BA3A2A">
              <w:rPr>
                <w:rFonts w:asciiTheme="minorHAnsi" w:hAnsiTheme="minorHAnsi"/>
                <w:b/>
              </w:rPr>
              <w:t>compétente pour l’exercice de la voie de droit</w:t>
            </w:r>
          </w:p>
        </w:tc>
        <w:tc>
          <w:tcPr>
            <w:tcW w:w="5670" w:type="dxa"/>
          </w:tcPr>
          <w:p w14:paraId="5ACED523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4BD37548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0A4735A2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</w:tc>
      </w:tr>
      <w:tr w:rsidR="00167745" w14:paraId="23515763" w14:textId="77777777" w:rsidTr="00167745">
        <w:tc>
          <w:tcPr>
            <w:tcW w:w="3114" w:type="dxa"/>
            <w:vAlign w:val="center"/>
          </w:tcPr>
          <w:p w14:paraId="2451AFD1" w14:textId="2B9B9022" w:rsidR="00167745" w:rsidRPr="00167745" w:rsidRDefault="00167745" w:rsidP="0016774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Facultatif : jusqu’à quelle date </w:t>
            </w:r>
            <w:r w:rsidR="00BA3A2A">
              <w:rPr>
                <w:rFonts w:asciiTheme="minorHAnsi" w:hAnsiTheme="minorHAnsi"/>
                <w:b/>
              </w:rPr>
              <w:t xml:space="preserve">la voie de droit peut-elle être exercée </w:t>
            </w:r>
            <w:r>
              <w:rPr>
                <w:rFonts w:asciiTheme="minorHAnsi" w:hAnsiTheme="minorHAnsi"/>
                <w:b/>
              </w:rPr>
              <w:t>au plus tard ?</w:t>
            </w:r>
          </w:p>
        </w:tc>
        <w:tc>
          <w:tcPr>
            <w:tcW w:w="5670" w:type="dxa"/>
          </w:tcPr>
          <w:p w14:paraId="6CD2B998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6B26DFCC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4D647E62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</w:tc>
      </w:tr>
      <w:tr w:rsidR="00167745" w14:paraId="7391A8FF" w14:textId="77777777" w:rsidTr="00167745">
        <w:tc>
          <w:tcPr>
            <w:tcW w:w="3114" w:type="dxa"/>
            <w:vAlign w:val="center"/>
          </w:tcPr>
          <w:p w14:paraId="02922605" w14:textId="77777777" w:rsidR="00167745" w:rsidRPr="00167745" w:rsidRDefault="00167745" w:rsidP="0016774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Questions en suspens</w:t>
            </w:r>
          </w:p>
        </w:tc>
        <w:tc>
          <w:tcPr>
            <w:tcW w:w="5670" w:type="dxa"/>
          </w:tcPr>
          <w:p w14:paraId="3BC93202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3090464E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29E5E512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</w:tc>
      </w:tr>
    </w:tbl>
    <w:p w14:paraId="5B864510" w14:textId="49144C88" w:rsidR="00167745" w:rsidRDefault="00167745" w:rsidP="00375F9F">
      <w:pPr>
        <w:rPr>
          <w:rFonts w:asciiTheme="minorHAnsi" w:hAnsiTheme="minorHAnsi"/>
        </w:rPr>
      </w:pPr>
    </w:p>
    <w:p w14:paraId="1A2F12D2" w14:textId="362CC2A1" w:rsidR="00167745" w:rsidRDefault="00167745" w:rsidP="00167745">
      <w:pPr>
        <w:rPr>
          <w:rStyle w:val="lev"/>
        </w:rPr>
      </w:pPr>
      <w:r>
        <w:rPr>
          <w:rFonts w:asciiTheme="minorHAnsi" w:hAnsiTheme="minorHAnsi"/>
          <w:b/>
        </w:rPr>
        <w:t xml:space="preserve">Exemple 3 : </w:t>
      </w:r>
      <w:r w:rsidR="00D433A0">
        <w:rPr>
          <w:rStyle w:val="lev"/>
          <w:rFonts w:asciiTheme="minorHAnsi" w:hAnsiTheme="minorHAnsi"/>
        </w:rPr>
        <w:t>octroi du droit de cité, naturalisation ordinaire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167745" w14:paraId="553B0DA8" w14:textId="77777777" w:rsidTr="00167745">
        <w:tc>
          <w:tcPr>
            <w:tcW w:w="3114" w:type="dxa"/>
            <w:vAlign w:val="center"/>
          </w:tcPr>
          <w:p w14:paraId="360D2716" w14:textId="6E337573" w:rsidR="00167745" w:rsidRPr="00167745" w:rsidRDefault="00167745" w:rsidP="0016774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Article de loi </w:t>
            </w:r>
            <w:r w:rsidR="00BA3A2A">
              <w:rPr>
                <w:rFonts w:asciiTheme="minorHAnsi" w:hAnsiTheme="minorHAnsi"/>
                <w:b/>
              </w:rPr>
              <w:t>correspondant</w:t>
            </w:r>
          </w:p>
        </w:tc>
        <w:tc>
          <w:tcPr>
            <w:tcW w:w="5670" w:type="dxa"/>
          </w:tcPr>
          <w:p w14:paraId="31A158ED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15DD3F16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63C9F14D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</w:tc>
      </w:tr>
      <w:tr w:rsidR="00167745" w14:paraId="6CF0448B" w14:textId="77777777" w:rsidTr="00167745">
        <w:tc>
          <w:tcPr>
            <w:tcW w:w="3114" w:type="dxa"/>
            <w:vAlign w:val="center"/>
          </w:tcPr>
          <w:p w14:paraId="5587DB71" w14:textId="472DAA3F" w:rsidR="00167745" w:rsidRPr="00167745" w:rsidRDefault="00167745" w:rsidP="0016774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Instance </w:t>
            </w:r>
            <w:r w:rsidR="00BA3A2A">
              <w:rPr>
                <w:rFonts w:asciiTheme="minorHAnsi" w:hAnsiTheme="minorHAnsi"/>
                <w:b/>
              </w:rPr>
              <w:t>compétente pour l’exercice de la voie de droit</w:t>
            </w:r>
          </w:p>
        </w:tc>
        <w:tc>
          <w:tcPr>
            <w:tcW w:w="5670" w:type="dxa"/>
          </w:tcPr>
          <w:p w14:paraId="57FA7017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3DAB0DBA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663A7D92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</w:tc>
      </w:tr>
      <w:tr w:rsidR="00167745" w14:paraId="6AB6FBEB" w14:textId="77777777" w:rsidTr="00167745">
        <w:tc>
          <w:tcPr>
            <w:tcW w:w="3114" w:type="dxa"/>
            <w:vAlign w:val="center"/>
          </w:tcPr>
          <w:p w14:paraId="58828806" w14:textId="32C7B427" w:rsidR="00167745" w:rsidRPr="00167745" w:rsidRDefault="00167745" w:rsidP="0016774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Facultatif : jusqu’à quelle date </w:t>
            </w:r>
            <w:r w:rsidR="00BA3A2A">
              <w:rPr>
                <w:rFonts w:asciiTheme="minorHAnsi" w:hAnsiTheme="minorHAnsi"/>
                <w:b/>
              </w:rPr>
              <w:t xml:space="preserve">la voie de droit peut-elle être exercée </w:t>
            </w:r>
            <w:r>
              <w:rPr>
                <w:rFonts w:asciiTheme="minorHAnsi" w:hAnsiTheme="minorHAnsi"/>
                <w:b/>
              </w:rPr>
              <w:t>au plus tard ?</w:t>
            </w:r>
          </w:p>
        </w:tc>
        <w:tc>
          <w:tcPr>
            <w:tcW w:w="5670" w:type="dxa"/>
          </w:tcPr>
          <w:p w14:paraId="22A92E04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4F570F24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59ECC10D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</w:tc>
      </w:tr>
      <w:tr w:rsidR="00167745" w14:paraId="15F5F766" w14:textId="77777777" w:rsidTr="00167745">
        <w:tc>
          <w:tcPr>
            <w:tcW w:w="3114" w:type="dxa"/>
            <w:vAlign w:val="center"/>
          </w:tcPr>
          <w:p w14:paraId="08EB4B4E" w14:textId="77777777" w:rsidR="00167745" w:rsidRPr="00167745" w:rsidRDefault="00167745" w:rsidP="0016774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Questions en suspens</w:t>
            </w:r>
          </w:p>
        </w:tc>
        <w:tc>
          <w:tcPr>
            <w:tcW w:w="5670" w:type="dxa"/>
          </w:tcPr>
          <w:p w14:paraId="45B49626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3BF10D17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  <w:p w14:paraId="29900AAA" w14:textId="77777777" w:rsidR="00167745" w:rsidRDefault="00167745" w:rsidP="00973884">
            <w:pPr>
              <w:rPr>
                <w:rFonts w:asciiTheme="minorHAnsi" w:hAnsiTheme="minorHAnsi"/>
              </w:rPr>
            </w:pPr>
          </w:p>
        </w:tc>
      </w:tr>
    </w:tbl>
    <w:p w14:paraId="3AD50BB6" w14:textId="77777777" w:rsidR="00167745" w:rsidRPr="00DE1434" w:rsidRDefault="00167745" w:rsidP="00375F9F">
      <w:pPr>
        <w:rPr>
          <w:rFonts w:asciiTheme="minorHAnsi" w:hAnsiTheme="minorHAnsi"/>
        </w:rPr>
      </w:pPr>
    </w:p>
    <w:sectPr w:rsidR="00167745" w:rsidRPr="00DE1434" w:rsidSect="002B05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DD31" w14:textId="77777777" w:rsidR="00E26219" w:rsidRDefault="00E26219" w:rsidP="005F2991">
      <w:r>
        <w:separator/>
      </w:r>
    </w:p>
  </w:endnote>
  <w:endnote w:type="continuationSeparator" w:id="0">
    <w:p w14:paraId="308D6EF5" w14:textId="77777777" w:rsidR="00E26219" w:rsidRDefault="00E26219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F693" w14:textId="77777777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</w:t>
    </w:r>
    <w:proofErr w:type="spellStart"/>
    <w:r>
      <w:rPr>
        <w:sz w:val="16"/>
      </w:rPr>
      <w:t>FIEn</w:t>
    </w:r>
    <w:proofErr w:type="spellEnd"/>
  </w:p>
  <w:p w14:paraId="52E311C2" w14:textId="77777777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>© Branche « </w:t>
    </w:r>
    <w:proofErr w:type="spellStart"/>
    <w:r>
      <w:rPr>
        <w:sz w:val="16"/>
      </w:rPr>
      <w:t>Öffentliche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Verwaltung</w:t>
    </w:r>
    <w:proofErr w:type="spellEnd"/>
    <w:r>
      <w:rPr>
        <w:sz w:val="16"/>
      </w:rPr>
      <w:t>/Administration publique/</w:t>
    </w:r>
    <w:proofErr w:type="spellStart"/>
    <w:r>
      <w:rPr>
        <w:sz w:val="16"/>
      </w:rPr>
      <w:t>Amministrazione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pubblica</w:t>
    </w:r>
    <w:proofErr w:type="spellEnd"/>
    <w:r>
      <w:rPr>
        <w:sz w:val="16"/>
      </w:rPr>
      <w:t xml:space="preserve"> » </w:t>
    </w:r>
    <w:r>
      <w:tab/>
    </w:r>
    <w: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724824">
      <w:rPr>
        <w:sz w:val="16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38F9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6855" w14:textId="77777777" w:rsidR="00E26219" w:rsidRDefault="00E26219" w:rsidP="005F2991">
      <w:r>
        <w:separator/>
      </w:r>
    </w:p>
  </w:footnote>
  <w:footnote w:type="continuationSeparator" w:id="0">
    <w:p w14:paraId="3A7702A5" w14:textId="77777777" w:rsidR="00E26219" w:rsidRDefault="00E26219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42C3" w14:textId="756E4C34" w:rsidR="005C0269" w:rsidRPr="005C0269" w:rsidRDefault="00B6746B" w:rsidP="005C0269">
    <w:pPr>
      <w:jc w:val="both"/>
      <w:rPr>
        <w:i/>
        <w:iCs/>
      </w:rPr>
    </w:pPr>
    <w:r w:rsidRPr="00B07D9B">
      <w:rPr>
        <w:i/>
        <w:iCs/>
        <w:cap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76780F3" wp14:editId="6C2633A6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0269" w:rsidRPr="005C0269">
      <w:rPr>
        <w:i/>
        <w:iCs/>
      </w:rPr>
      <w:t xml:space="preserve"> </w:t>
    </w:r>
    <w:r w:rsidR="005C0269" w:rsidRPr="005C0269">
      <w:rPr>
        <w:i/>
        <w:iCs/>
      </w:rPr>
      <w:t xml:space="preserve">J8 </w:t>
    </w:r>
    <w:r w:rsidR="005C0269">
      <w:rPr>
        <w:i/>
        <w:iCs/>
      </w:rPr>
      <w:t>-</w:t>
    </w:r>
    <w:r w:rsidR="005C0269" w:rsidRPr="005C0269">
      <w:rPr>
        <w:i/>
        <w:iCs/>
      </w:rPr>
      <w:t xml:space="preserve"> Ex. 7a - Consignes</w:t>
    </w:r>
  </w:p>
  <w:p w14:paraId="7A7443E8" w14:textId="4D55F394" w:rsidR="009C0716" w:rsidRPr="00B07D9B" w:rsidRDefault="009C0716" w:rsidP="00B6746B">
    <w:pPr>
      <w:pStyle w:val="En-tte"/>
      <w:rPr>
        <w:i/>
        <w:iCs/>
        <w:cap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E6EC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130F6463" wp14:editId="508AED53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2DBCE2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29F"/>
    <w:multiLevelType w:val="hybridMultilevel"/>
    <w:tmpl w:val="100E26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D93764"/>
    <w:multiLevelType w:val="multilevel"/>
    <w:tmpl w:val="76CE3150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23437853">
    <w:abstractNumId w:val="1"/>
  </w:num>
  <w:num w:numId="2" w16cid:durableId="372581672">
    <w:abstractNumId w:val="2"/>
  </w:num>
  <w:num w:numId="3" w16cid:durableId="1529416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69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56"/>
    <w:rsid w:val="000649A0"/>
    <w:rsid w:val="000806DF"/>
    <w:rsid w:val="00083C93"/>
    <w:rsid w:val="000F0ABA"/>
    <w:rsid w:val="00133CBD"/>
    <w:rsid w:val="0016636F"/>
    <w:rsid w:val="00167745"/>
    <w:rsid w:val="00193F6D"/>
    <w:rsid w:val="001B330F"/>
    <w:rsid w:val="001B577F"/>
    <w:rsid w:val="001D5E79"/>
    <w:rsid w:val="001E26EE"/>
    <w:rsid w:val="00270746"/>
    <w:rsid w:val="00286492"/>
    <w:rsid w:val="00286FC1"/>
    <w:rsid w:val="002B047A"/>
    <w:rsid w:val="002B058E"/>
    <w:rsid w:val="002D4BFD"/>
    <w:rsid w:val="002E0518"/>
    <w:rsid w:val="002F5318"/>
    <w:rsid w:val="00310E6A"/>
    <w:rsid w:val="00375F9F"/>
    <w:rsid w:val="003D24E3"/>
    <w:rsid w:val="003D74EE"/>
    <w:rsid w:val="003F0023"/>
    <w:rsid w:val="003F7F3B"/>
    <w:rsid w:val="00404253"/>
    <w:rsid w:val="00416338"/>
    <w:rsid w:val="00424A1E"/>
    <w:rsid w:val="00430092"/>
    <w:rsid w:val="004D0428"/>
    <w:rsid w:val="004D7E7F"/>
    <w:rsid w:val="004E3770"/>
    <w:rsid w:val="004E3C66"/>
    <w:rsid w:val="0051561F"/>
    <w:rsid w:val="00575C4A"/>
    <w:rsid w:val="00590B01"/>
    <w:rsid w:val="005A28E7"/>
    <w:rsid w:val="005C0269"/>
    <w:rsid w:val="005E4F55"/>
    <w:rsid w:val="005E6B3F"/>
    <w:rsid w:val="005F2991"/>
    <w:rsid w:val="00641C5C"/>
    <w:rsid w:val="00661078"/>
    <w:rsid w:val="006A7DE3"/>
    <w:rsid w:val="006B49D5"/>
    <w:rsid w:val="006E0073"/>
    <w:rsid w:val="006F37FA"/>
    <w:rsid w:val="006F4F1E"/>
    <w:rsid w:val="00715926"/>
    <w:rsid w:val="00724824"/>
    <w:rsid w:val="007270EF"/>
    <w:rsid w:val="007E2578"/>
    <w:rsid w:val="008014E4"/>
    <w:rsid w:val="00832A37"/>
    <w:rsid w:val="00881217"/>
    <w:rsid w:val="009271CF"/>
    <w:rsid w:val="00927EF3"/>
    <w:rsid w:val="00964F80"/>
    <w:rsid w:val="00971515"/>
    <w:rsid w:val="0098794A"/>
    <w:rsid w:val="009A1A76"/>
    <w:rsid w:val="009A491E"/>
    <w:rsid w:val="009B5703"/>
    <w:rsid w:val="009C0716"/>
    <w:rsid w:val="009E705E"/>
    <w:rsid w:val="009F70A6"/>
    <w:rsid w:val="00A16772"/>
    <w:rsid w:val="00A27D07"/>
    <w:rsid w:val="00A73E68"/>
    <w:rsid w:val="00A80ABE"/>
    <w:rsid w:val="00B04E04"/>
    <w:rsid w:val="00B07D9B"/>
    <w:rsid w:val="00B07ED3"/>
    <w:rsid w:val="00B13F6B"/>
    <w:rsid w:val="00B164E2"/>
    <w:rsid w:val="00B5377F"/>
    <w:rsid w:val="00B5659A"/>
    <w:rsid w:val="00B6746B"/>
    <w:rsid w:val="00BA3A2A"/>
    <w:rsid w:val="00BE6856"/>
    <w:rsid w:val="00BE6AB7"/>
    <w:rsid w:val="00C013DE"/>
    <w:rsid w:val="00C106DE"/>
    <w:rsid w:val="00C53A6B"/>
    <w:rsid w:val="00CD3C6C"/>
    <w:rsid w:val="00CF51C9"/>
    <w:rsid w:val="00D314AD"/>
    <w:rsid w:val="00D433A0"/>
    <w:rsid w:val="00D64FCA"/>
    <w:rsid w:val="00D701AF"/>
    <w:rsid w:val="00D97D08"/>
    <w:rsid w:val="00DD4603"/>
    <w:rsid w:val="00DE1434"/>
    <w:rsid w:val="00DF361E"/>
    <w:rsid w:val="00E26219"/>
    <w:rsid w:val="00E305F4"/>
    <w:rsid w:val="00EB1346"/>
    <w:rsid w:val="00EF5935"/>
    <w:rsid w:val="00EF5943"/>
    <w:rsid w:val="00F02905"/>
    <w:rsid w:val="00F343F7"/>
    <w:rsid w:val="00F464A8"/>
    <w:rsid w:val="00F730E9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F7886A"/>
  <w15:docId w15:val="{55087B23-D1BB-46CE-AA6D-6A7A1665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3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D701AF"/>
    <w:pPr>
      <w:numPr>
        <w:numId w:val="1"/>
      </w:numPr>
      <w:contextualSpacing/>
    </w:pPr>
    <w:rPr>
      <w:szCs w:val="24"/>
    </w:rPr>
  </w:style>
  <w:style w:type="paragraph" w:customStyle="1" w:styleId="Aufzhlung">
    <w:name w:val="Aufzählung"/>
    <w:basedOn w:val="Listepuces"/>
    <w:link w:val="AufzhlungZchn"/>
    <w:qFormat/>
    <w:rsid w:val="00D701AF"/>
  </w:style>
  <w:style w:type="character" w:customStyle="1" w:styleId="AufzhlungZchn">
    <w:name w:val="Aufzählung Zchn"/>
    <w:basedOn w:val="Policepardfaut"/>
    <w:link w:val="Aufzhlung"/>
    <w:rsid w:val="00D701AF"/>
    <w:rPr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F51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51C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51C9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1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1C9"/>
    <w:rPr>
      <w:b/>
      <w:bCs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724824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CD3C6C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167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578A9-BF3C-4F9B-B1F4-C2DC9144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Giblaine Laëtitia</cp:lastModifiedBy>
  <cp:revision>15</cp:revision>
  <cp:lastPrinted>2024-11-29T14:54:00Z</cp:lastPrinted>
  <dcterms:created xsi:type="dcterms:W3CDTF">2023-02-14T01:06:00Z</dcterms:created>
  <dcterms:modified xsi:type="dcterms:W3CDTF">2025-10-27T14:19:00Z</dcterms:modified>
</cp:coreProperties>
</file>